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B523" w14:textId="77777777" w:rsidR="00774976" w:rsidRPr="00160D93" w:rsidRDefault="00774976" w:rsidP="00774976">
      <w:pPr>
        <w:jc w:val="center"/>
        <w:rPr>
          <w:rFonts w:ascii="Garamond" w:hAnsi="Garamond" w:cs="Arial"/>
          <w:bCs/>
        </w:rPr>
      </w:pPr>
    </w:p>
    <w:p w14:paraId="0FCF8F5D" w14:textId="05ADCF36" w:rsidR="00774976" w:rsidRPr="00160D93" w:rsidRDefault="00774976" w:rsidP="00774976">
      <w:pPr>
        <w:jc w:val="center"/>
        <w:rPr>
          <w:rFonts w:ascii="Garamond" w:hAnsi="Garamond" w:cs="Arial"/>
          <w:bCs/>
        </w:rPr>
      </w:pPr>
      <w:proofErr w:type="spellStart"/>
      <w:r w:rsidRPr="00160D93">
        <w:rPr>
          <w:rFonts w:ascii="Garamond" w:hAnsi="Garamond" w:cs="Arial"/>
          <w:bCs/>
        </w:rPr>
        <w:t>Criminal</w:t>
      </w:r>
      <w:proofErr w:type="spellEnd"/>
      <w:r w:rsidRPr="00160D93">
        <w:rPr>
          <w:rFonts w:ascii="Garamond" w:hAnsi="Garamond" w:cs="Arial"/>
          <w:bCs/>
        </w:rPr>
        <w:t xml:space="preserve"> </w:t>
      </w:r>
      <w:proofErr w:type="spellStart"/>
      <w:r w:rsidR="002B5960">
        <w:rPr>
          <w:rFonts w:ascii="Garamond" w:hAnsi="Garamond" w:cs="Arial"/>
          <w:bCs/>
        </w:rPr>
        <w:t>C</w:t>
      </w:r>
      <w:r w:rsidRPr="00160D93">
        <w:rPr>
          <w:rFonts w:ascii="Garamond" w:hAnsi="Garamond" w:cs="Arial"/>
          <w:bCs/>
        </w:rPr>
        <w:t>ompliance</w:t>
      </w:r>
      <w:proofErr w:type="spellEnd"/>
      <w:r w:rsidRPr="00160D93">
        <w:rPr>
          <w:rFonts w:ascii="Garamond" w:hAnsi="Garamond" w:cs="Arial"/>
          <w:bCs/>
        </w:rPr>
        <w:t xml:space="preserve"> </w:t>
      </w:r>
      <w:r w:rsidR="002B5960">
        <w:rPr>
          <w:rFonts w:ascii="Garamond" w:hAnsi="Garamond" w:cs="Arial"/>
          <w:bCs/>
        </w:rPr>
        <w:t>P</w:t>
      </w:r>
      <w:r w:rsidRPr="00160D93">
        <w:rPr>
          <w:rFonts w:ascii="Garamond" w:hAnsi="Garamond" w:cs="Arial"/>
          <w:bCs/>
        </w:rPr>
        <w:t>rogra</w:t>
      </w:r>
      <w:r w:rsidRPr="005A4A0C">
        <w:rPr>
          <w:rFonts w:ascii="Garamond" w:hAnsi="Garamond" w:cs="Arial"/>
          <w:bCs/>
        </w:rPr>
        <w:t xml:space="preserve">m </w:t>
      </w:r>
      <w:r w:rsidR="001B3791" w:rsidRPr="005A4A0C">
        <w:rPr>
          <w:rFonts w:ascii="Garamond" w:hAnsi="Garamond" w:cs="Arial"/>
          <w:bCs/>
        </w:rPr>
        <w:t>KRAJSKÉHO FOTBALOVÉHO SVAZU</w:t>
      </w:r>
      <w:r w:rsidR="005A4A0C" w:rsidRPr="005A4A0C">
        <w:rPr>
          <w:rFonts w:ascii="Garamond" w:hAnsi="Garamond" w:cs="Arial"/>
          <w:bCs/>
        </w:rPr>
        <w:t xml:space="preserve"> VYSOČINA</w:t>
      </w:r>
    </w:p>
    <w:p w14:paraId="329B9E43" w14:textId="77777777" w:rsidR="00160D93" w:rsidRDefault="00160D93" w:rsidP="00160D93">
      <w:pPr>
        <w:spacing w:after="120"/>
        <w:jc w:val="both"/>
        <w:rPr>
          <w:rFonts w:ascii="Garamond" w:hAnsi="Garamond" w:cs="Arial"/>
          <w:bCs/>
          <w:sz w:val="32"/>
          <w:szCs w:val="32"/>
        </w:rPr>
      </w:pPr>
    </w:p>
    <w:p w14:paraId="2D51BD00" w14:textId="4F23FC87" w:rsidR="00160D93" w:rsidRPr="00160D93" w:rsidRDefault="00160D93" w:rsidP="00160D93">
      <w:pPr>
        <w:spacing w:after="120"/>
        <w:jc w:val="both"/>
        <w:rPr>
          <w:rFonts w:ascii="Garamond" w:hAnsi="Garamond" w:cs="Arial"/>
          <w:b/>
          <w:sz w:val="24"/>
          <w:szCs w:val="24"/>
        </w:rPr>
      </w:pPr>
      <w:r w:rsidRPr="00160D93">
        <w:rPr>
          <w:rFonts w:ascii="Garamond" w:hAnsi="Garamond" w:cs="Arial"/>
          <w:b/>
          <w:sz w:val="24"/>
          <w:szCs w:val="24"/>
        </w:rPr>
        <w:t>ZÁKLADNÍ PRÁVNÍ PŘEDPISY</w:t>
      </w:r>
    </w:p>
    <w:p w14:paraId="33CC70B5" w14:textId="77777777" w:rsidR="00160D93" w:rsidRPr="00160D93" w:rsidRDefault="00160D93" w:rsidP="00160D93">
      <w:pPr>
        <w:pStyle w:val="Odstavecseseznamem"/>
        <w:numPr>
          <w:ilvl w:val="0"/>
          <w:numId w:val="2"/>
        </w:numPr>
        <w:spacing w:after="0" w:line="240" w:lineRule="auto"/>
        <w:jc w:val="both"/>
        <w:rPr>
          <w:rFonts w:ascii="Garamond" w:eastAsia="Times New Roman" w:hAnsi="Garamond" w:cs="Times New Roman"/>
          <w:sz w:val="24"/>
          <w:szCs w:val="24"/>
          <w:lang w:eastAsia="cs-CZ"/>
        </w:rPr>
      </w:pPr>
      <w:r w:rsidRPr="00160D93">
        <w:rPr>
          <w:rFonts w:ascii="Garamond" w:eastAsia="Times New Roman" w:hAnsi="Garamond" w:cs="Times New Roman"/>
          <w:sz w:val="24"/>
          <w:szCs w:val="24"/>
          <w:lang w:eastAsia="cs-CZ"/>
        </w:rPr>
        <w:t>Zákon č. 40/2009 Sb., trestní zákoník, v platném znění (dále jen „</w:t>
      </w:r>
      <w:r w:rsidRPr="00160D93">
        <w:rPr>
          <w:rFonts w:ascii="Garamond" w:eastAsia="Times New Roman" w:hAnsi="Garamond" w:cs="Times New Roman"/>
          <w:b/>
          <w:bCs/>
          <w:sz w:val="24"/>
          <w:szCs w:val="24"/>
          <w:lang w:eastAsia="cs-CZ"/>
        </w:rPr>
        <w:t>trestní zákoník</w:t>
      </w:r>
      <w:r w:rsidRPr="00160D93">
        <w:rPr>
          <w:rFonts w:ascii="Garamond" w:eastAsia="Times New Roman" w:hAnsi="Garamond" w:cs="Times New Roman"/>
          <w:sz w:val="24"/>
          <w:szCs w:val="24"/>
          <w:lang w:eastAsia="cs-CZ"/>
        </w:rPr>
        <w:t>“)</w:t>
      </w:r>
    </w:p>
    <w:p w14:paraId="450CA313" w14:textId="77777777" w:rsidR="00160D93" w:rsidRPr="00160D93" w:rsidRDefault="00160D93" w:rsidP="00160D93">
      <w:pPr>
        <w:pStyle w:val="Odstavecseseznamem"/>
        <w:numPr>
          <w:ilvl w:val="0"/>
          <w:numId w:val="2"/>
        </w:numPr>
        <w:spacing w:after="0" w:line="240" w:lineRule="auto"/>
        <w:jc w:val="both"/>
        <w:rPr>
          <w:rFonts w:ascii="Garamond" w:eastAsia="Times New Roman" w:hAnsi="Garamond" w:cs="Times New Roman"/>
          <w:sz w:val="24"/>
          <w:szCs w:val="24"/>
          <w:lang w:eastAsia="cs-CZ"/>
        </w:rPr>
      </w:pPr>
      <w:r w:rsidRPr="00160D93">
        <w:rPr>
          <w:rFonts w:ascii="Garamond" w:eastAsia="Times New Roman" w:hAnsi="Garamond" w:cs="Times New Roman"/>
          <w:sz w:val="24"/>
          <w:szCs w:val="24"/>
          <w:lang w:eastAsia="cs-CZ"/>
        </w:rPr>
        <w:t>Zákon č. 141/1961 Sb., o trestním řízení soudním (trestní řád), v platném znění (dále jen „</w:t>
      </w:r>
      <w:r w:rsidRPr="00160D93">
        <w:rPr>
          <w:rFonts w:ascii="Garamond" w:eastAsia="Times New Roman" w:hAnsi="Garamond" w:cs="Times New Roman"/>
          <w:b/>
          <w:bCs/>
          <w:sz w:val="24"/>
          <w:szCs w:val="24"/>
          <w:lang w:eastAsia="cs-CZ"/>
        </w:rPr>
        <w:t>trestní řád</w:t>
      </w:r>
      <w:r w:rsidRPr="00160D93">
        <w:rPr>
          <w:rFonts w:ascii="Garamond" w:eastAsia="Times New Roman" w:hAnsi="Garamond" w:cs="Times New Roman"/>
          <w:sz w:val="24"/>
          <w:szCs w:val="24"/>
          <w:lang w:eastAsia="cs-CZ"/>
        </w:rPr>
        <w:t>“)</w:t>
      </w:r>
    </w:p>
    <w:p w14:paraId="6C74F0BA" w14:textId="09F3D45B" w:rsidR="00160D93" w:rsidRDefault="00160D93" w:rsidP="00160D93">
      <w:pPr>
        <w:pStyle w:val="Odstavecseseznamem"/>
        <w:numPr>
          <w:ilvl w:val="0"/>
          <w:numId w:val="2"/>
        </w:numPr>
        <w:spacing w:after="0" w:line="240" w:lineRule="auto"/>
        <w:jc w:val="both"/>
        <w:rPr>
          <w:rFonts w:ascii="Garamond" w:eastAsia="Times New Roman" w:hAnsi="Garamond" w:cs="Times New Roman"/>
          <w:sz w:val="24"/>
          <w:szCs w:val="24"/>
          <w:lang w:eastAsia="cs-CZ"/>
        </w:rPr>
      </w:pPr>
      <w:r w:rsidRPr="00160D93">
        <w:rPr>
          <w:rFonts w:ascii="Garamond" w:eastAsia="Times New Roman" w:hAnsi="Garamond" w:cs="Times New Roman"/>
          <w:sz w:val="24"/>
          <w:szCs w:val="24"/>
          <w:lang w:eastAsia="cs-CZ"/>
        </w:rPr>
        <w:t>Zákon č. 418/2011 Sb. o trestní odpovědnosti právnických osob a řízení proti nim, v platném znění (dále jen „</w:t>
      </w:r>
      <w:r w:rsidRPr="00160D93">
        <w:rPr>
          <w:rFonts w:ascii="Garamond" w:eastAsia="Times New Roman" w:hAnsi="Garamond" w:cs="Times New Roman"/>
          <w:b/>
          <w:bCs/>
          <w:sz w:val="24"/>
          <w:szCs w:val="24"/>
          <w:lang w:eastAsia="cs-CZ"/>
        </w:rPr>
        <w:t>zákon o trestní odpovědnosti právnických osob</w:t>
      </w:r>
      <w:r w:rsidRPr="00160D93">
        <w:rPr>
          <w:rFonts w:ascii="Garamond" w:eastAsia="Times New Roman" w:hAnsi="Garamond" w:cs="Times New Roman"/>
          <w:sz w:val="24"/>
          <w:szCs w:val="24"/>
          <w:lang w:eastAsia="cs-CZ"/>
        </w:rPr>
        <w:t>“)</w:t>
      </w:r>
    </w:p>
    <w:p w14:paraId="6A265297" w14:textId="77777777" w:rsidR="00160D93" w:rsidRPr="00160D93" w:rsidRDefault="00160D93" w:rsidP="00160D93">
      <w:pPr>
        <w:pStyle w:val="Odstavecseseznamem"/>
        <w:spacing w:after="0" w:line="240" w:lineRule="auto"/>
        <w:jc w:val="both"/>
        <w:rPr>
          <w:rFonts w:ascii="Garamond" w:eastAsia="Times New Roman" w:hAnsi="Garamond" w:cs="Times New Roman"/>
          <w:sz w:val="24"/>
          <w:szCs w:val="24"/>
          <w:lang w:eastAsia="cs-CZ"/>
        </w:rPr>
      </w:pPr>
    </w:p>
    <w:p w14:paraId="163DBAC4" w14:textId="0B0E7F7C"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Odkazované právní předpisy jsou v platném znění v celém rozsahu přístupné na webových stránkách:</w:t>
      </w:r>
    </w:p>
    <w:p w14:paraId="5932B9BC"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 xml:space="preserve">https://www.beck-online.cz/bo/index.seam či na https://www.noveaspi.cz/menu/search. </w:t>
      </w:r>
    </w:p>
    <w:p w14:paraId="0A0C348C" w14:textId="77777777" w:rsidR="00160D93" w:rsidRPr="00160D93" w:rsidRDefault="00160D93" w:rsidP="00160D93">
      <w:pPr>
        <w:spacing w:after="120"/>
        <w:jc w:val="both"/>
        <w:rPr>
          <w:rFonts w:ascii="Garamond" w:hAnsi="Garamond" w:cs="Arial"/>
          <w:bCs/>
          <w:sz w:val="24"/>
          <w:szCs w:val="24"/>
        </w:rPr>
      </w:pPr>
    </w:p>
    <w:p w14:paraId="11488AC5" w14:textId="77777777" w:rsidR="00160D93" w:rsidRPr="00160D93" w:rsidRDefault="00160D93" w:rsidP="00160D93">
      <w:pPr>
        <w:spacing w:after="120"/>
        <w:jc w:val="both"/>
        <w:rPr>
          <w:rFonts w:ascii="Garamond" w:hAnsi="Garamond" w:cs="Arial"/>
          <w:b/>
          <w:sz w:val="24"/>
          <w:szCs w:val="24"/>
        </w:rPr>
      </w:pPr>
      <w:r w:rsidRPr="00160D93">
        <w:rPr>
          <w:rFonts w:ascii="Garamond" w:hAnsi="Garamond" w:cs="Arial"/>
          <w:b/>
          <w:sz w:val="24"/>
          <w:szCs w:val="24"/>
        </w:rPr>
        <w:t>ZÁKLADY TRESTNÍ ODPOVĚDNOSTI</w:t>
      </w:r>
    </w:p>
    <w:p w14:paraId="27006BFA" w14:textId="4BA270D4" w:rsidR="00160D93" w:rsidRPr="00160D93" w:rsidRDefault="005A4A0C" w:rsidP="00160D93">
      <w:pPr>
        <w:spacing w:after="120"/>
        <w:jc w:val="both"/>
        <w:rPr>
          <w:rFonts w:ascii="Garamond" w:hAnsi="Garamond" w:cs="Arial"/>
          <w:bCs/>
          <w:sz w:val="24"/>
          <w:szCs w:val="24"/>
        </w:rPr>
      </w:pPr>
      <w:r>
        <w:rPr>
          <w:rFonts w:ascii="Garamond" w:hAnsi="Garamond" w:cs="Arial"/>
          <w:bCs/>
          <w:sz w:val="24"/>
          <w:szCs w:val="24"/>
        </w:rPr>
        <w:t>Krajský fotbalový svaz Vysočina</w:t>
      </w:r>
      <w:r w:rsidR="00160D93" w:rsidRPr="00160D93">
        <w:rPr>
          <w:rFonts w:ascii="Garamond" w:hAnsi="Garamond" w:cs="Arial"/>
          <w:bCs/>
          <w:sz w:val="24"/>
          <w:szCs w:val="24"/>
        </w:rPr>
        <w:t xml:space="preserve"> (dále jen „S</w:t>
      </w:r>
      <w:r w:rsidR="00160D93">
        <w:rPr>
          <w:rFonts w:ascii="Garamond" w:hAnsi="Garamond" w:cs="Arial"/>
          <w:bCs/>
          <w:sz w:val="24"/>
          <w:szCs w:val="24"/>
        </w:rPr>
        <w:t>vaz</w:t>
      </w:r>
      <w:r w:rsidR="00160D93" w:rsidRPr="00160D93">
        <w:rPr>
          <w:rFonts w:ascii="Garamond" w:hAnsi="Garamond" w:cs="Arial"/>
          <w:bCs/>
          <w:sz w:val="24"/>
          <w:szCs w:val="24"/>
        </w:rPr>
        <w:t>“) klade důraz na to, aby dotčené osoby byly řádně a úplně seznámeny a v každém okamžiku znaly podmínky vzniku trestní odpovědnosti, skutkové podstaty trestných činů a podmínky vzniku trestní odpovědnosti právnických osob. V této souvislosti je nezbytná jejich znalost také (nejen) následujících pojmů.</w:t>
      </w:r>
    </w:p>
    <w:p w14:paraId="563B2970" w14:textId="77777777" w:rsidR="00160D93" w:rsidRPr="00160D93" w:rsidRDefault="00160D93" w:rsidP="00160D93">
      <w:pPr>
        <w:spacing w:after="120"/>
        <w:jc w:val="both"/>
        <w:rPr>
          <w:rFonts w:ascii="Garamond" w:hAnsi="Garamond" w:cs="Arial"/>
          <w:b/>
          <w:sz w:val="24"/>
          <w:szCs w:val="24"/>
        </w:rPr>
      </w:pPr>
      <w:r w:rsidRPr="00160D93">
        <w:rPr>
          <w:rFonts w:ascii="Garamond" w:hAnsi="Garamond" w:cs="Arial"/>
          <w:b/>
          <w:sz w:val="24"/>
          <w:szCs w:val="24"/>
        </w:rPr>
        <w:t>Trestní odpovědnost</w:t>
      </w:r>
    </w:p>
    <w:p w14:paraId="36B1A2CD"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Trestní odpovědností je míněna povinnost strpět za spáchaný trestný čin sankce stanovené trestním zákoníkem v rámci trestněprávního vztahu, který vznikne spácháním trestného činu mezi pachatelem a státem, jenž prostřednictvím soudů rozhoduje o tom, zda byl spáchán trestný čin (o vině) a o uložení trestní sankce či sankcí. Podmínky trestní odpovědnosti jsou uvedeny v trestním zákoníku a všechny dotčené osoby jsou povinny se s nimi seznámit.</w:t>
      </w:r>
    </w:p>
    <w:p w14:paraId="57BF68A4" w14:textId="77777777" w:rsidR="00160D93" w:rsidRPr="00160D93" w:rsidRDefault="00160D93" w:rsidP="00160D93">
      <w:pPr>
        <w:spacing w:after="120"/>
        <w:jc w:val="both"/>
        <w:rPr>
          <w:rFonts w:ascii="Garamond" w:hAnsi="Garamond" w:cs="Arial"/>
          <w:b/>
          <w:sz w:val="24"/>
          <w:szCs w:val="24"/>
        </w:rPr>
      </w:pPr>
      <w:r w:rsidRPr="00160D93">
        <w:rPr>
          <w:rFonts w:ascii="Garamond" w:hAnsi="Garamond" w:cs="Arial"/>
          <w:b/>
          <w:sz w:val="24"/>
          <w:szCs w:val="24"/>
        </w:rPr>
        <w:t>Trestný čin</w:t>
      </w:r>
    </w:p>
    <w:p w14:paraId="651E3112"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Trestný čin je protiprávní čin, který trestní zákon (trestní zákoník, resp. zákon o trestní odpovědnosti právnických osob) označuje za trestný a který vykazuje znaky uvedené v takovém zákoně. Základem trestní odpovědnosti je spáchání trestného činu, tj. naplnění všech znaků skutkové podstaty trestného činu.</w:t>
      </w:r>
    </w:p>
    <w:p w14:paraId="524D630B" w14:textId="77777777" w:rsidR="00160D93" w:rsidRPr="00160D93" w:rsidRDefault="00160D93" w:rsidP="00160D93">
      <w:pPr>
        <w:spacing w:after="120"/>
        <w:jc w:val="both"/>
        <w:rPr>
          <w:rFonts w:ascii="Garamond" w:hAnsi="Garamond" w:cs="Arial"/>
          <w:b/>
          <w:sz w:val="24"/>
          <w:szCs w:val="24"/>
        </w:rPr>
      </w:pPr>
      <w:r w:rsidRPr="00160D93">
        <w:rPr>
          <w:rFonts w:ascii="Garamond" w:hAnsi="Garamond" w:cs="Arial"/>
          <w:b/>
          <w:sz w:val="24"/>
          <w:szCs w:val="24"/>
        </w:rPr>
        <w:t>Skutková podstata trestného činu</w:t>
      </w:r>
    </w:p>
    <w:p w14:paraId="7DDD7F39"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Skutková podstata trestného činu je souhrn objektivních a subjektivních znaků, které určují jednotlivé druhy trestných činů a odlišují je od sebe navzájem. Jde o znaky: individuální objekt (chráněný zájem), objektivní stránka (jednání, následek a příčinný vztah mezi nimi), subjekt a subjektivní stránka (především zavinění, tj. úmysl nebo nedbalost).</w:t>
      </w:r>
    </w:p>
    <w:p w14:paraId="3566B2EE"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Jednotlivé trestné činy, jejich skutkové podstaty jsou uvedeny ve zvláštní části trestního zákoníku a všechny dotčené osoby jsou povinny se s nimi seznámit.</w:t>
      </w:r>
    </w:p>
    <w:p w14:paraId="3FEB2CCD" w14:textId="77777777" w:rsidR="00160D93" w:rsidRPr="00160D93" w:rsidRDefault="00160D93" w:rsidP="00160D93">
      <w:pPr>
        <w:keepNext/>
        <w:spacing w:after="120"/>
        <w:jc w:val="both"/>
        <w:rPr>
          <w:rFonts w:ascii="Garamond" w:hAnsi="Garamond" w:cs="Arial"/>
          <w:b/>
          <w:sz w:val="24"/>
          <w:szCs w:val="24"/>
        </w:rPr>
      </w:pPr>
      <w:r w:rsidRPr="00160D93">
        <w:rPr>
          <w:rFonts w:ascii="Garamond" w:hAnsi="Garamond" w:cs="Arial"/>
          <w:b/>
          <w:sz w:val="24"/>
          <w:szCs w:val="24"/>
        </w:rPr>
        <w:lastRenderedPageBreak/>
        <w:t xml:space="preserve">Subjektivní stránka trestného činu </w:t>
      </w:r>
    </w:p>
    <w:p w14:paraId="3C22943B" w14:textId="77777777" w:rsidR="00160D93" w:rsidRPr="00160D93" w:rsidRDefault="00160D93" w:rsidP="00160D93">
      <w:pPr>
        <w:keepNext/>
        <w:spacing w:after="120"/>
        <w:jc w:val="both"/>
        <w:rPr>
          <w:rFonts w:ascii="Garamond" w:hAnsi="Garamond" w:cs="Arial"/>
          <w:bCs/>
          <w:sz w:val="24"/>
          <w:szCs w:val="24"/>
        </w:rPr>
      </w:pPr>
      <w:r w:rsidRPr="00160D93">
        <w:rPr>
          <w:rFonts w:ascii="Garamond" w:hAnsi="Garamond" w:cs="Arial"/>
          <w:bCs/>
          <w:sz w:val="24"/>
          <w:szCs w:val="24"/>
        </w:rPr>
        <w:t xml:space="preserve">S ohledem na správné pochopení skutkových podstat, je dobré, aby dotčené osoby znaly základní informace k subjektivní stránce a věděly, že v některých případech postačí u některých trestných činů i zavinění z nedbalosti. </w:t>
      </w:r>
    </w:p>
    <w:p w14:paraId="159D7A85"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Zavinění je vnitřní psychický vztah pachatele k podstatným složkám trestného činu. Musí být dáno v době činu a ke všem znakům trestného činu. Zavinění je vybudováno na složce vědění, která zahrnuje vnímání pachatele a na složce vůle, zahrnující především chtění nebo srozumění, tj. v podstatě rozhodnutí jednat určitým způsobem se znalostí podstaty věci.</w:t>
      </w:r>
    </w:p>
    <w:p w14:paraId="5572070C"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 xml:space="preserve">K trestní odpovědnosti je třeba úmyslného zavinění, nicméně trestní zákoník výslovně u některých trestných činů stanoví, že </w:t>
      </w:r>
      <w:r w:rsidRPr="00160D93">
        <w:rPr>
          <w:rFonts w:ascii="Garamond" w:hAnsi="Garamond" w:cs="Arial"/>
          <w:b/>
          <w:sz w:val="24"/>
          <w:szCs w:val="24"/>
        </w:rPr>
        <w:t>postačí zavinění z nedbalosti.</w:t>
      </w:r>
    </w:p>
    <w:p w14:paraId="1285432F"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 xml:space="preserve">Trestný čin je spáchán </w:t>
      </w:r>
      <w:r w:rsidRPr="00160D93">
        <w:rPr>
          <w:rFonts w:ascii="Garamond" w:hAnsi="Garamond" w:cs="Arial"/>
          <w:b/>
          <w:sz w:val="24"/>
          <w:szCs w:val="24"/>
        </w:rPr>
        <w:t>úmyslně</w:t>
      </w:r>
      <w:r w:rsidRPr="00160D93">
        <w:rPr>
          <w:rFonts w:ascii="Garamond" w:hAnsi="Garamond" w:cs="Arial"/>
          <w:bCs/>
          <w:sz w:val="24"/>
          <w:szCs w:val="24"/>
        </w:rPr>
        <w:t>, jestliže pachatel</w:t>
      </w:r>
    </w:p>
    <w:p w14:paraId="1D6F242A" w14:textId="77777777" w:rsidR="00160D93" w:rsidRPr="00160D93" w:rsidRDefault="00160D93" w:rsidP="00160D93">
      <w:pPr>
        <w:pStyle w:val="Odstavecseseznamem"/>
        <w:numPr>
          <w:ilvl w:val="0"/>
          <w:numId w:val="3"/>
        </w:numPr>
        <w:spacing w:after="120"/>
        <w:jc w:val="both"/>
        <w:rPr>
          <w:rFonts w:ascii="Garamond" w:hAnsi="Garamond"/>
          <w:bCs/>
          <w:sz w:val="24"/>
          <w:szCs w:val="24"/>
        </w:rPr>
      </w:pPr>
      <w:r w:rsidRPr="00160D93">
        <w:rPr>
          <w:rFonts w:ascii="Garamond" w:hAnsi="Garamond"/>
          <w:bCs/>
          <w:sz w:val="24"/>
          <w:szCs w:val="24"/>
        </w:rPr>
        <w:t>chtěl způsobem uvedeným v trestním zákoně porušit nebo ohrozit zájem chráněný takovým zákonem (tzv. úmysl přímý), nebo</w:t>
      </w:r>
    </w:p>
    <w:p w14:paraId="4BCB1AAD" w14:textId="77777777" w:rsidR="00160D93" w:rsidRPr="00160D93" w:rsidRDefault="00160D93" w:rsidP="00160D93">
      <w:pPr>
        <w:pStyle w:val="Odstavecseseznamem"/>
        <w:numPr>
          <w:ilvl w:val="0"/>
          <w:numId w:val="3"/>
        </w:numPr>
        <w:spacing w:after="120"/>
        <w:jc w:val="both"/>
        <w:rPr>
          <w:rFonts w:ascii="Garamond" w:hAnsi="Garamond"/>
          <w:bCs/>
          <w:sz w:val="24"/>
          <w:szCs w:val="24"/>
        </w:rPr>
      </w:pPr>
      <w:r w:rsidRPr="00160D93">
        <w:rPr>
          <w:rFonts w:ascii="Garamond" w:hAnsi="Garamond"/>
          <w:bCs/>
          <w:sz w:val="24"/>
          <w:szCs w:val="24"/>
        </w:rPr>
        <w:t>věděl, že svým jednáním může takové porušení nebo ohrožení způsobit, a pro případ, že je způsobí, byl s tím srozuměn (tzv. úmysl nepřímý).</w:t>
      </w:r>
    </w:p>
    <w:p w14:paraId="49CB3A43"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 xml:space="preserve">Trestný čin je spáchán z </w:t>
      </w:r>
      <w:r w:rsidRPr="00160D93">
        <w:rPr>
          <w:rFonts w:ascii="Garamond" w:hAnsi="Garamond" w:cs="Arial"/>
          <w:b/>
          <w:sz w:val="24"/>
          <w:szCs w:val="24"/>
        </w:rPr>
        <w:t>nedbalosti</w:t>
      </w:r>
      <w:r w:rsidRPr="00160D93">
        <w:rPr>
          <w:rFonts w:ascii="Garamond" w:hAnsi="Garamond" w:cs="Arial"/>
          <w:bCs/>
          <w:sz w:val="24"/>
          <w:szCs w:val="24"/>
        </w:rPr>
        <w:t>, jestliže pachatel</w:t>
      </w:r>
    </w:p>
    <w:p w14:paraId="1486E6E5" w14:textId="77777777" w:rsidR="00160D93" w:rsidRPr="00160D93" w:rsidRDefault="00160D93" w:rsidP="00160D93">
      <w:pPr>
        <w:pStyle w:val="Odstavecseseznamem"/>
        <w:numPr>
          <w:ilvl w:val="0"/>
          <w:numId w:val="3"/>
        </w:numPr>
        <w:spacing w:after="120"/>
        <w:jc w:val="both"/>
        <w:rPr>
          <w:rFonts w:ascii="Garamond" w:hAnsi="Garamond"/>
          <w:bCs/>
          <w:sz w:val="24"/>
          <w:szCs w:val="24"/>
        </w:rPr>
      </w:pPr>
      <w:r w:rsidRPr="00160D93">
        <w:rPr>
          <w:rFonts w:ascii="Garamond" w:hAnsi="Garamond"/>
          <w:bCs/>
          <w:sz w:val="24"/>
          <w:szCs w:val="24"/>
        </w:rPr>
        <w:t>věděl, že může způsobem uvedeným v trestním zákoně porušit nebo ohrozit zájem chráněný takovým zákonem, ale bez přiměřených důvodů spoléhal, že takové porušení nebo ohrožení nezpůsobí (tzv. nedbalost vědomá), nebo</w:t>
      </w:r>
    </w:p>
    <w:p w14:paraId="1654AEC5" w14:textId="77777777" w:rsidR="00160D93" w:rsidRPr="00160D93" w:rsidRDefault="00160D93" w:rsidP="00160D93">
      <w:pPr>
        <w:pStyle w:val="Odstavecseseznamem"/>
        <w:numPr>
          <w:ilvl w:val="0"/>
          <w:numId w:val="3"/>
        </w:numPr>
        <w:spacing w:after="120"/>
        <w:jc w:val="both"/>
        <w:rPr>
          <w:rFonts w:ascii="Garamond" w:hAnsi="Garamond"/>
          <w:bCs/>
          <w:sz w:val="24"/>
          <w:szCs w:val="24"/>
        </w:rPr>
      </w:pPr>
      <w:r w:rsidRPr="00160D93">
        <w:rPr>
          <w:rFonts w:ascii="Garamond" w:hAnsi="Garamond"/>
          <w:bCs/>
          <w:sz w:val="24"/>
          <w:szCs w:val="24"/>
        </w:rPr>
        <w:t>nevěděl, že svým jednáním může takové porušení nebo ohrožení způsobit, ač o tom vzhledem k okolnostem a k svým osobním poměrům vědět měl a mohl (tzv. nedbalost nevědomá).</w:t>
      </w:r>
    </w:p>
    <w:p w14:paraId="49C16B4C"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 xml:space="preserve">Trestný čin je spáchán z hrubé nedbalosti, jestliže přístup pachatele k požadavku náležité opatrnosti svědčí o zřejmé bezohlednosti pachatele k zájmům chráněným trestním zákonem. Nejde přitom o žádnou další, zvláštní formu nedbalosti. Hrubá nedbalost ale předpokládá tzv. vyšší intenzitu. </w:t>
      </w:r>
    </w:p>
    <w:p w14:paraId="1C3E1123" w14:textId="77777777" w:rsidR="00160D93" w:rsidRPr="00160D93" w:rsidRDefault="00160D93" w:rsidP="00160D93">
      <w:pPr>
        <w:spacing w:after="120"/>
        <w:jc w:val="both"/>
        <w:rPr>
          <w:rFonts w:ascii="Garamond" w:hAnsi="Garamond" w:cs="Arial"/>
          <w:b/>
          <w:sz w:val="24"/>
          <w:szCs w:val="24"/>
        </w:rPr>
      </w:pPr>
      <w:r w:rsidRPr="00160D93">
        <w:rPr>
          <w:rFonts w:ascii="Garamond" w:hAnsi="Garamond" w:cs="Arial"/>
          <w:b/>
          <w:sz w:val="24"/>
          <w:szCs w:val="24"/>
        </w:rPr>
        <w:t xml:space="preserve">Účastník trestného činu </w:t>
      </w:r>
    </w:p>
    <w:p w14:paraId="14242CFB"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 xml:space="preserve">Od pojmu pachatele trestného činu je třeba odlišovat pojem účastníka ve smyslu § 24 trestního zákoníku, dle kterého je účastníkem na dokonaném trestném činu nebo jeho pokusu, kdo úmyslně </w:t>
      </w:r>
    </w:p>
    <w:p w14:paraId="4ADE54AD" w14:textId="77777777" w:rsidR="00160D93" w:rsidRPr="00160D93" w:rsidRDefault="00160D93" w:rsidP="00160D93">
      <w:pPr>
        <w:pStyle w:val="Odstavecseseznamem"/>
        <w:numPr>
          <w:ilvl w:val="0"/>
          <w:numId w:val="3"/>
        </w:numPr>
        <w:spacing w:after="120"/>
        <w:jc w:val="both"/>
        <w:rPr>
          <w:rFonts w:ascii="Garamond" w:hAnsi="Garamond"/>
          <w:bCs/>
          <w:sz w:val="24"/>
          <w:szCs w:val="24"/>
        </w:rPr>
      </w:pPr>
      <w:r w:rsidRPr="00160D93">
        <w:rPr>
          <w:rFonts w:ascii="Garamond" w:hAnsi="Garamond"/>
          <w:bCs/>
          <w:sz w:val="24"/>
          <w:szCs w:val="24"/>
        </w:rPr>
        <w:t xml:space="preserve">spáchání trestného činu zosnoval nebo </w:t>
      </w:r>
      <w:proofErr w:type="gramStart"/>
      <w:r w:rsidRPr="00160D93">
        <w:rPr>
          <w:rFonts w:ascii="Garamond" w:hAnsi="Garamond"/>
          <w:bCs/>
          <w:sz w:val="24"/>
          <w:szCs w:val="24"/>
        </w:rPr>
        <w:t>řídil - organizátor</w:t>
      </w:r>
      <w:proofErr w:type="gramEnd"/>
      <w:r w:rsidRPr="00160D93">
        <w:rPr>
          <w:rFonts w:ascii="Garamond" w:hAnsi="Garamond"/>
          <w:bCs/>
          <w:sz w:val="24"/>
          <w:szCs w:val="24"/>
        </w:rPr>
        <w:t>,</w:t>
      </w:r>
    </w:p>
    <w:p w14:paraId="4E63533A" w14:textId="77777777" w:rsidR="00160D93" w:rsidRPr="00160D93" w:rsidRDefault="00160D93" w:rsidP="00160D93">
      <w:pPr>
        <w:pStyle w:val="Odstavecseseznamem"/>
        <w:numPr>
          <w:ilvl w:val="0"/>
          <w:numId w:val="3"/>
        </w:numPr>
        <w:spacing w:after="120"/>
        <w:jc w:val="both"/>
        <w:rPr>
          <w:rFonts w:ascii="Garamond" w:hAnsi="Garamond"/>
          <w:bCs/>
          <w:sz w:val="24"/>
          <w:szCs w:val="24"/>
        </w:rPr>
      </w:pPr>
      <w:r w:rsidRPr="00160D93">
        <w:rPr>
          <w:rFonts w:ascii="Garamond" w:hAnsi="Garamond"/>
          <w:bCs/>
          <w:sz w:val="24"/>
          <w:szCs w:val="24"/>
        </w:rPr>
        <w:t xml:space="preserve">vzbudil v jiném rozhodnutí spáchat trestný </w:t>
      </w:r>
      <w:proofErr w:type="gramStart"/>
      <w:r w:rsidRPr="00160D93">
        <w:rPr>
          <w:rFonts w:ascii="Garamond" w:hAnsi="Garamond"/>
          <w:bCs/>
          <w:sz w:val="24"/>
          <w:szCs w:val="24"/>
        </w:rPr>
        <w:t>čin - návodce</w:t>
      </w:r>
      <w:proofErr w:type="gramEnd"/>
      <w:r w:rsidRPr="00160D93">
        <w:rPr>
          <w:rFonts w:ascii="Garamond" w:hAnsi="Garamond"/>
          <w:bCs/>
          <w:sz w:val="24"/>
          <w:szCs w:val="24"/>
        </w:rPr>
        <w:t>, nebo</w:t>
      </w:r>
    </w:p>
    <w:p w14:paraId="537CC4DE" w14:textId="77777777" w:rsidR="00160D93" w:rsidRPr="00160D93" w:rsidRDefault="00160D93" w:rsidP="00160D93">
      <w:pPr>
        <w:pStyle w:val="Odstavecseseznamem"/>
        <w:numPr>
          <w:ilvl w:val="0"/>
          <w:numId w:val="3"/>
        </w:numPr>
        <w:spacing w:after="120"/>
        <w:jc w:val="both"/>
        <w:rPr>
          <w:rFonts w:ascii="Garamond" w:hAnsi="Garamond"/>
          <w:bCs/>
          <w:sz w:val="24"/>
          <w:szCs w:val="24"/>
        </w:rPr>
      </w:pPr>
      <w:r w:rsidRPr="00160D93">
        <w:rPr>
          <w:rFonts w:ascii="Garamond" w:hAnsi="Garamond"/>
          <w:bCs/>
          <w:sz w:val="24"/>
          <w:szCs w:val="24"/>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w:t>
      </w:r>
      <w:proofErr w:type="gramStart"/>
      <w:r w:rsidRPr="00160D93">
        <w:rPr>
          <w:rFonts w:ascii="Garamond" w:hAnsi="Garamond"/>
          <w:bCs/>
          <w:sz w:val="24"/>
          <w:szCs w:val="24"/>
        </w:rPr>
        <w:t>činu - pomocník</w:t>
      </w:r>
      <w:proofErr w:type="gramEnd"/>
      <w:r w:rsidRPr="00160D93">
        <w:rPr>
          <w:rFonts w:ascii="Garamond" w:hAnsi="Garamond"/>
          <w:bCs/>
          <w:sz w:val="24"/>
          <w:szCs w:val="24"/>
        </w:rPr>
        <w:t>.</w:t>
      </w:r>
    </w:p>
    <w:p w14:paraId="74994898"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Trestní odpovědnost a trestnost účastníka (ať již fyzické osoby, nebo osoby právnické) se posuzuje stejně jako trestní odpovědnost a trestnost pachatele (pokud trestní zákoník nestanoví z této zásady výjimky).</w:t>
      </w:r>
    </w:p>
    <w:p w14:paraId="3782E827" w14:textId="77777777" w:rsidR="00160D93" w:rsidRPr="00160D93" w:rsidRDefault="00160D93" w:rsidP="00160D93">
      <w:pPr>
        <w:spacing w:after="120"/>
        <w:jc w:val="both"/>
        <w:rPr>
          <w:rFonts w:ascii="Garamond" w:hAnsi="Garamond" w:cs="Arial"/>
          <w:b/>
          <w:sz w:val="24"/>
          <w:szCs w:val="24"/>
        </w:rPr>
      </w:pPr>
      <w:r w:rsidRPr="00160D93">
        <w:rPr>
          <w:rFonts w:ascii="Garamond" w:hAnsi="Garamond" w:cs="Arial"/>
          <w:b/>
          <w:sz w:val="24"/>
          <w:szCs w:val="24"/>
        </w:rPr>
        <w:t>Trestný čin spáchaný právnickou osobou</w:t>
      </w:r>
    </w:p>
    <w:p w14:paraId="3411009A"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lastRenderedPageBreak/>
        <w:t>Trestný čin spáchaný právnickou osobou (§ 8 odst. 1 zákona o trestní odpovědnosti právnických osob) je protiprávní čin spáchaný v jejím zájmu nebo v rámci její činnosti, jednal-li tak:</w:t>
      </w:r>
      <w:r w:rsidRPr="00160D93">
        <w:rPr>
          <w:rFonts w:ascii="Garamond" w:hAnsi="Garamond" w:cs="Arial"/>
          <w:bCs/>
          <w:sz w:val="24"/>
          <w:szCs w:val="24"/>
        </w:rPr>
        <w:tab/>
      </w:r>
      <w:r w:rsidRPr="00160D93">
        <w:rPr>
          <w:rFonts w:ascii="Garamond" w:hAnsi="Garamond" w:cs="Arial"/>
          <w:bCs/>
          <w:sz w:val="24"/>
          <w:szCs w:val="24"/>
        </w:rPr>
        <w:tab/>
      </w:r>
    </w:p>
    <w:p w14:paraId="0B50E505" w14:textId="77777777" w:rsidR="00160D93" w:rsidRPr="00160D93" w:rsidRDefault="00160D93" w:rsidP="00160D93">
      <w:pPr>
        <w:pStyle w:val="Odstavecseseznamem"/>
        <w:numPr>
          <w:ilvl w:val="0"/>
          <w:numId w:val="4"/>
        </w:numPr>
        <w:spacing w:after="120"/>
        <w:jc w:val="both"/>
        <w:rPr>
          <w:rFonts w:ascii="Garamond" w:hAnsi="Garamond"/>
          <w:bCs/>
          <w:sz w:val="24"/>
          <w:szCs w:val="24"/>
        </w:rPr>
      </w:pPr>
      <w:r w:rsidRPr="00160D93">
        <w:rPr>
          <w:rFonts w:ascii="Garamond" w:hAnsi="Garamond"/>
          <w:bCs/>
          <w:sz w:val="24"/>
          <w:szCs w:val="24"/>
        </w:rPr>
        <w:t>statutární orgán nebo člen statutárního orgánu, anebo jiná osoba ve vedoucím postavení v rámci právnické osoby, která je oprávněna jménem nebo za právnickou osobu jednat,</w:t>
      </w:r>
    </w:p>
    <w:p w14:paraId="396EB8D3" w14:textId="77777777" w:rsidR="00160D93" w:rsidRPr="00160D93" w:rsidRDefault="00160D93" w:rsidP="00160D93">
      <w:pPr>
        <w:pStyle w:val="Odstavecseseznamem"/>
        <w:numPr>
          <w:ilvl w:val="0"/>
          <w:numId w:val="4"/>
        </w:numPr>
        <w:spacing w:after="120"/>
        <w:jc w:val="both"/>
        <w:rPr>
          <w:rFonts w:ascii="Garamond" w:hAnsi="Garamond"/>
          <w:bCs/>
          <w:sz w:val="24"/>
          <w:szCs w:val="24"/>
        </w:rPr>
      </w:pPr>
      <w:r w:rsidRPr="00160D93">
        <w:rPr>
          <w:rFonts w:ascii="Garamond" w:hAnsi="Garamond"/>
          <w:bCs/>
          <w:sz w:val="24"/>
          <w:szCs w:val="24"/>
        </w:rPr>
        <w:t>osoba ve vedoucím postavení v rámci právnické osoby, která u této právnické osoby vykonává řídící nebo kontrolní činnost, i když není osobou uvedenou v písmenu a),</w:t>
      </w:r>
    </w:p>
    <w:p w14:paraId="67B53F7B" w14:textId="77777777" w:rsidR="00160D93" w:rsidRPr="00160D93" w:rsidRDefault="00160D93" w:rsidP="00160D93">
      <w:pPr>
        <w:pStyle w:val="Odstavecseseznamem"/>
        <w:numPr>
          <w:ilvl w:val="0"/>
          <w:numId w:val="4"/>
        </w:numPr>
        <w:spacing w:after="120"/>
        <w:jc w:val="both"/>
        <w:rPr>
          <w:rFonts w:ascii="Garamond" w:hAnsi="Garamond"/>
          <w:bCs/>
          <w:sz w:val="24"/>
          <w:szCs w:val="24"/>
        </w:rPr>
      </w:pPr>
      <w:r w:rsidRPr="00160D93">
        <w:rPr>
          <w:rFonts w:ascii="Garamond" w:hAnsi="Garamond"/>
          <w:bCs/>
          <w:sz w:val="24"/>
          <w:szCs w:val="24"/>
        </w:rPr>
        <w:t>ten, kdo vykonává rozhodující vliv na řízení této právnické osoby, jestliže jeho jednání bylo alespoň jednou z podmínek vzniku následku zakládajícího trestní odpovědnost právnické osoby, nebo</w:t>
      </w:r>
    </w:p>
    <w:p w14:paraId="2F5140CE" w14:textId="77777777" w:rsidR="00160D93" w:rsidRPr="00160D93" w:rsidRDefault="00160D93" w:rsidP="00160D93">
      <w:pPr>
        <w:pStyle w:val="Odstavecseseznamem"/>
        <w:numPr>
          <w:ilvl w:val="0"/>
          <w:numId w:val="4"/>
        </w:numPr>
        <w:spacing w:after="120"/>
        <w:jc w:val="both"/>
        <w:rPr>
          <w:rFonts w:ascii="Garamond" w:hAnsi="Garamond"/>
          <w:bCs/>
          <w:sz w:val="24"/>
          <w:szCs w:val="24"/>
        </w:rPr>
      </w:pPr>
      <w:r w:rsidRPr="00160D93">
        <w:rPr>
          <w:rFonts w:ascii="Garamond" w:hAnsi="Garamond"/>
          <w:bCs/>
          <w:sz w:val="24"/>
          <w:szCs w:val="24"/>
        </w:rPr>
        <w:t xml:space="preserve">zaměstnanec nebo osoba v obdobném postavení při plnění pracovních úkolů, i když není osobou uvedenou v písmenech a) až c), </w:t>
      </w:r>
    </w:p>
    <w:p w14:paraId="5B2FE09F"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jestliže jí ho lze přičítat.</w:t>
      </w:r>
    </w:p>
    <w:p w14:paraId="56C92008"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Přičitatelnost spáchání trestného činu právnické osobě</w:t>
      </w:r>
    </w:p>
    <w:p w14:paraId="7CDEBECD"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Právnické osobě lze dle § 8 odst. 2 zákona o trestní odpovědnosti právnických osob přičítat spáchání trestného činu, jestliže byl spáchán:</w:t>
      </w:r>
    </w:p>
    <w:p w14:paraId="084AADE5" w14:textId="77777777" w:rsidR="00160D93" w:rsidRPr="00160D93" w:rsidRDefault="00160D93" w:rsidP="00160D93">
      <w:pPr>
        <w:pStyle w:val="Odstavecseseznamem"/>
        <w:numPr>
          <w:ilvl w:val="0"/>
          <w:numId w:val="5"/>
        </w:numPr>
        <w:spacing w:after="120"/>
        <w:jc w:val="both"/>
        <w:rPr>
          <w:rFonts w:ascii="Garamond" w:hAnsi="Garamond"/>
          <w:bCs/>
          <w:sz w:val="24"/>
          <w:szCs w:val="24"/>
        </w:rPr>
      </w:pPr>
      <w:r w:rsidRPr="00160D93">
        <w:rPr>
          <w:rFonts w:ascii="Garamond" w:hAnsi="Garamond"/>
          <w:bCs/>
          <w:sz w:val="24"/>
          <w:szCs w:val="24"/>
        </w:rPr>
        <w:t>jednáním orgánů právnické osoby nebo osob uvedených výše pod písm. a) až c), nebo</w:t>
      </w:r>
    </w:p>
    <w:p w14:paraId="33FDE191" w14:textId="77777777" w:rsidR="00160D93" w:rsidRPr="00160D93" w:rsidRDefault="00160D93" w:rsidP="00160D93">
      <w:pPr>
        <w:pStyle w:val="Odstavecseseznamem"/>
        <w:numPr>
          <w:ilvl w:val="0"/>
          <w:numId w:val="5"/>
        </w:numPr>
        <w:spacing w:after="120"/>
        <w:jc w:val="both"/>
        <w:rPr>
          <w:rFonts w:ascii="Garamond" w:hAnsi="Garamond"/>
          <w:bCs/>
          <w:sz w:val="24"/>
          <w:szCs w:val="24"/>
        </w:rPr>
      </w:pPr>
      <w:r w:rsidRPr="00160D93">
        <w:rPr>
          <w:rFonts w:ascii="Garamond" w:hAnsi="Garamond"/>
          <w:bCs/>
          <w:sz w:val="24"/>
          <w:szCs w:val="24"/>
        </w:rPr>
        <w:t>zaměstnancem uvedeným výše pod písm. d) na podkladě rozhodnutí, schválení nebo pokynu orgánů právnické osoby nebo osob uvedených výše pod písm. a) až c) anebo proto, že orgány právnické osoby nebo osoby uvedené pod písm. a) až c) neprovedly taková opatření, která měly provést podle jiného právního předpisu nebo která po nich lze spravedlivě požadovat, zejména neprovedly povinnou nebo potřebnou kontrolu nad činností zaměstnanců nebo jiných osob, jimž jsou nadřízeny, anebo neučinily nezbytná opatření k zamezení nebo odvrácení následků spáchaného trestného činu.</w:t>
      </w:r>
    </w:p>
    <w:p w14:paraId="2DC33412" w14:textId="77777777" w:rsidR="00160D93" w:rsidRPr="008A1C72" w:rsidRDefault="00160D93" w:rsidP="00160D93">
      <w:pPr>
        <w:spacing w:after="120"/>
        <w:jc w:val="both"/>
        <w:rPr>
          <w:rFonts w:ascii="Garamond" w:hAnsi="Garamond" w:cs="Arial"/>
          <w:b/>
          <w:sz w:val="24"/>
          <w:szCs w:val="24"/>
        </w:rPr>
      </w:pPr>
      <w:r w:rsidRPr="008A1C72">
        <w:rPr>
          <w:rFonts w:ascii="Garamond" w:hAnsi="Garamond" w:cs="Arial"/>
          <w:b/>
          <w:sz w:val="24"/>
          <w:szCs w:val="24"/>
        </w:rPr>
        <w:t>Trestní odpovědnost právnických osob</w:t>
      </w:r>
    </w:p>
    <w:p w14:paraId="34B15973"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Trestní odpovědnost právnických osob se týká veškerých zločinů nebo přečinů uvedených ve zvláštní části trestního zákoníku, s výjimkou trestných činů taxativně vyjmenovaných (§ 7 zákona o trestní odpovědnosti právnických osob). Trestní odpovědnosti právnické osoby nebrání, nepodaří-li se zjistit, která konkrétní fyzická osoba jednala protiprávním způsobem (§ 8 odst. 3 zákona o trestní odpovědnosti právnických osob). Trestní odpovědností právnické osoby není dotčena trestní odpovědnost fyzických osob a trestní odpovědností těchto fyzických osob není dotčena trestní odpovědnost právnické osoby (§ 9 odst. 3 zákona o trestní odpovědnosti právnických osob). Právnická osoba se trestní odpovědnosti zprostí, pokud vynaložila veškeré úsilí, které na ní bylo možno spravedlivě požadovat, aby spáchání protiprávního činu osobami uvedenými výše zabránila (§ 8 odst. 5 zákona o trestní odpovědnosti právnických osob).</w:t>
      </w:r>
    </w:p>
    <w:p w14:paraId="12C1727D" w14:textId="77777777" w:rsidR="00160D93" w:rsidRPr="008A1C72" w:rsidRDefault="00160D93" w:rsidP="00160D93">
      <w:pPr>
        <w:spacing w:after="120"/>
        <w:jc w:val="both"/>
        <w:rPr>
          <w:rFonts w:ascii="Garamond" w:hAnsi="Garamond" w:cs="Arial"/>
          <w:b/>
          <w:sz w:val="24"/>
          <w:szCs w:val="24"/>
        </w:rPr>
      </w:pPr>
      <w:r w:rsidRPr="008A1C72">
        <w:rPr>
          <w:rFonts w:ascii="Garamond" w:hAnsi="Garamond" w:cs="Arial"/>
          <w:b/>
          <w:sz w:val="24"/>
          <w:szCs w:val="24"/>
        </w:rPr>
        <w:t>Veškeré úsilí, které lze po právnické osobě spravedlivě požadovat</w:t>
      </w:r>
    </w:p>
    <w:p w14:paraId="2251D37E" w14:textId="3AAD266D"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Zákon o trestní odpovědnosti právnických osob konkrétně nespecifikuje, jaké úsilí (opatření a postupy) má právnická osoba vynaložit, aby zabránila spáchání protiprávního činu. S</w:t>
      </w:r>
      <w:r w:rsidR="008A1C72">
        <w:rPr>
          <w:rFonts w:ascii="Garamond" w:hAnsi="Garamond" w:cs="Arial"/>
          <w:bCs/>
          <w:sz w:val="24"/>
          <w:szCs w:val="24"/>
        </w:rPr>
        <w:t xml:space="preserve">vaz </w:t>
      </w:r>
      <w:r w:rsidRPr="00160D93">
        <w:rPr>
          <w:rFonts w:ascii="Garamond" w:hAnsi="Garamond" w:cs="Arial"/>
          <w:bCs/>
          <w:sz w:val="24"/>
          <w:szCs w:val="24"/>
        </w:rPr>
        <w:t>považuje CCP za komplexní systém obsahující veškerá opatření a postupy, která lze na S</w:t>
      </w:r>
      <w:r w:rsidR="008A1C72">
        <w:rPr>
          <w:rFonts w:ascii="Garamond" w:hAnsi="Garamond" w:cs="Arial"/>
          <w:bCs/>
          <w:sz w:val="24"/>
          <w:szCs w:val="24"/>
        </w:rPr>
        <w:t xml:space="preserve">vazu </w:t>
      </w:r>
      <w:r w:rsidRPr="00160D93">
        <w:rPr>
          <w:rFonts w:ascii="Garamond" w:hAnsi="Garamond" w:cs="Arial"/>
          <w:bCs/>
          <w:sz w:val="24"/>
          <w:szCs w:val="24"/>
        </w:rPr>
        <w:t xml:space="preserve">spravedlivě požadovat, nejen aby zabránila spáchání protiprávního činu dotčenými osobami, ale aby jeho spáchání mohlo být a bylo odhaleno, aby došlo k odvrácení následků spáchaného trestného činu, </w:t>
      </w:r>
      <w:r w:rsidRPr="00160D93">
        <w:rPr>
          <w:rFonts w:ascii="Garamond" w:hAnsi="Garamond" w:cs="Arial"/>
          <w:bCs/>
          <w:sz w:val="24"/>
          <w:szCs w:val="24"/>
        </w:rPr>
        <w:lastRenderedPageBreak/>
        <w:t>to vše při zajištění faktického naplňování CCP, kontroly naplňování přijatých opatření a postupů, vyhledávání jejich porušení, vynucování jejich plnění, vyhledávání a odstraňování nedostatků a vyvozování odpovědnosti za ně. S</w:t>
      </w:r>
      <w:r w:rsidR="008A1C72">
        <w:rPr>
          <w:rFonts w:ascii="Garamond" w:hAnsi="Garamond" w:cs="Arial"/>
          <w:bCs/>
          <w:sz w:val="24"/>
          <w:szCs w:val="24"/>
        </w:rPr>
        <w:t>vaz</w:t>
      </w:r>
      <w:r w:rsidRPr="00160D93">
        <w:rPr>
          <w:rFonts w:ascii="Garamond" w:hAnsi="Garamond" w:cs="Arial"/>
          <w:bCs/>
          <w:sz w:val="24"/>
          <w:szCs w:val="24"/>
        </w:rPr>
        <w:t xml:space="preserve"> prostřednictvím CCP nastavuje maximální možnou míru všech parametrů. S</w:t>
      </w:r>
      <w:r w:rsidR="008A1C72">
        <w:rPr>
          <w:rFonts w:ascii="Garamond" w:hAnsi="Garamond" w:cs="Arial"/>
          <w:bCs/>
          <w:sz w:val="24"/>
          <w:szCs w:val="24"/>
        </w:rPr>
        <w:t>vaz</w:t>
      </w:r>
      <w:r w:rsidRPr="00160D93">
        <w:rPr>
          <w:rFonts w:ascii="Garamond" w:hAnsi="Garamond" w:cs="Arial"/>
          <w:bCs/>
          <w:sz w:val="24"/>
          <w:szCs w:val="24"/>
        </w:rPr>
        <w:t xml:space="preserve"> považuje důsledné naplňování a respektování CCP za jednu ze svých priorit a za součást firemní kultury.</w:t>
      </w:r>
    </w:p>
    <w:p w14:paraId="382B5773"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Povinnost dotčených osob seznámit se s podmínkami trestní odpovědnosti právnických osob</w:t>
      </w:r>
    </w:p>
    <w:p w14:paraId="71C6A5F9" w14:textId="77777777"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Podmínky trestní odpovědnosti právnických osob jsou uvedeny v zákoně o trestní odpovědnosti právnických osob a v trestním zákoníku a všechny dotčené osoby jsou povinny se s nimi seznámit.</w:t>
      </w:r>
    </w:p>
    <w:p w14:paraId="6CDA416F" w14:textId="77777777" w:rsidR="00160D93" w:rsidRPr="008A1C72" w:rsidRDefault="00160D93" w:rsidP="00160D93">
      <w:pPr>
        <w:spacing w:after="120"/>
        <w:jc w:val="both"/>
        <w:rPr>
          <w:rFonts w:ascii="Garamond" w:hAnsi="Garamond" w:cs="Arial"/>
          <w:b/>
          <w:sz w:val="24"/>
          <w:szCs w:val="24"/>
        </w:rPr>
      </w:pPr>
    </w:p>
    <w:p w14:paraId="0C0D2275" w14:textId="77777777" w:rsidR="00160D93" w:rsidRPr="008A1C72" w:rsidRDefault="00160D93" w:rsidP="00160D93">
      <w:pPr>
        <w:spacing w:after="120"/>
        <w:jc w:val="both"/>
        <w:rPr>
          <w:rFonts w:ascii="Garamond" w:hAnsi="Garamond" w:cs="Arial"/>
          <w:b/>
          <w:sz w:val="24"/>
          <w:szCs w:val="24"/>
        </w:rPr>
      </w:pPr>
      <w:r w:rsidRPr="008A1C72">
        <w:rPr>
          <w:rFonts w:ascii="Garamond" w:hAnsi="Garamond" w:cs="Arial"/>
          <w:b/>
          <w:sz w:val="24"/>
          <w:szCs w:val="24"/>
        </w:rPr>
        <w:t>Odpovědnost za přestupek</w:t>
      </w:r>
    </w:p>
    <w:p w14:paraId="6EEFA1F7" w14:textId="05FCF204"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S</w:t>
      </w:r>
      <w:r w:rsidR="008A1C72">
        <w:rPr>
          <w:rFonts w:ascii="Garamond" w:hAnsi="Garamond" w:cs="Arial"/>
          <w:bCs/>
          <w:sz w:val="24"/>
          <w:szCs w:val="24"/>
        </w:rPr>
        <w:t>vaz</w:t>
      </w:r>
      <w:r w:rsidRPr="00160D93">
        <w:rPr>
          <w:rFonts w:ascii="Garamond" w:hAnsi="Garamond" w:cs="Arial"/>
          <w:bCs/>
          <w:sz w:val="24"/>
          <w:szCs w:val="24"/>
        </w:rPr>
        <w:t xml:space="preserve">, jakožto právnická osoba, může být v souvislosti s jednáním dotčených osob kromě trestní odpovědnosti (viz výše) shledána odpovědnou také za řadu přestupků, přičemž i v takovém případě jí hrozí citelné sankce. Přestupkem je společensky škodlivý protiprávní čin, který je v zákoně za přestupek výslovně označen a který vykazuje znaky stanovené zákonem, nejde-li o trestný čin. Obecná úprava odpovědnosti za přestupky (i právnické osoby) včetně výčtu osob, jejíž jednání je přičitatelné právnické osobě je obsažena v zákoně č. 250/2016 Sb., o odpovědnosti za přestupky a řízení o nich. Úprava jednotlivých přestupků je obsažena jednak v zákoně č. 251/2016 Sb., o některých přestupcích, a dále pak v relevantních zvláštních právních předpisech. </w:t>
      </w:r>
    </w:p>
    <w:p w14:paraId="7A257B29" w14:textId="05C53F24" w:rsidR="00160D93" w:rsidRPr="00160D93" w:rsidRDefault="00160D93" w:rsidP="00160D93">
      <w:pPr>
        <w:spacing w:after="120"/>
        <w:jc w:val="both"/>
        <w:rPr>
          <w:rFonts w:ascii="Garamond" w:hAnsi="Garamond" w:cs="Arial"/>
          <w:bCs/>
          <w:sz w:val="24"/>
          <w:szCs w:val="24"/>
        </w:rPr>
      </w:pPr>
      <w:r w:rsidRPr="00160D93">
        <w:rPr>
          <w:rFonts w:ascii="Garamond" w:hAnsi="Garamond" w:cs="Arial"/>
          <w:bCs/>
          <w:sz w:val="24"/>
          <w:szCs w:val="24"/>
        </w:rPr>
        <w:t>Dotčené osoby jsou povinny se v souvislosti s činností pro S</w:t>
      </w:r>
      <w:r w:rsidR="008A1C72">
        <w:rPr>
          <w:rFonts w:ascii="Garamond" w:hAnsi="Garamond" w:cs="Arial"/>
          <w:bCs/>
          <w:sz w:val="24"/>
          <w:szCs w:val="24"/>
        </w:rPr>
        <w:t>vaz</w:t>
      </w:r>
      <w:r w:rsidRPr="00160D93">
        <w:rPr>
          <w:rFonts w:ascii="Garamond" w:hAnsi="Garamond" w:cs="Arial"/>
          <w:bCs/>
          <w:sz w:val="24"/>
          <w:szCs w:val="24"/>
        </w:rPr>
        <w:t xml:space="preserve"> chovat tak, aby nespáchaly žádný přestupek, který je možno přičíst S</w:t>
      </w:r>
      <w:r w:rsidR="008A1C72">
        <w:rPr>
          <w:rFonts w:ascii="Garamond" w:hAnsi="Garamond" w:cs="Arial"/>
          <w:bCs/>
          <w:sz w:val="24"/>
          <w:szCs w:val="24"/>
        </w:rPr>
        <w:t>vaz</w:t>
      </w:r>
      <w:r w:rsidR="00306332">
        <w:rPr>
          <w:rFonts w:ascii="Garamond" w:hAnsi="Garamond" w:cs="Arial"/>
          <w:bCs/>
          <w:sz w:val="24"/>
          <w:szCs w:val="24"/>
        </w:rPr>
        <w:t>u</w:t>
      </w:r>
      <w:r w:rsidRPr="00160D93">
        <w:rPr>
          <w:rFonts w:ascii="Garamond" w:hAnsi="Garamond" w:cs="Arial"/>
          <w:bCs/>
          <w:sz w:val="24"/>
          <w:szCs w:val="24"/>
        </w:rPr>
        <w:t>.</w:t>
      </w:r>
    </w:p>
    <w:p w14:paraId="7B955C5A" w14:textId="21469F15" w:rsidR="000E1B97" w:rsidRPr="00160D93" w:rsidRDefault="000E1B97" w:rsidP="00160D93">
      <w:pPr>
        <w:spacing w:after="120"/>
        <w:jc w:val="center"/>
        <w:rPr>
          <w:rFonts w:ascii="Garamond" w:hAnsi="Garamond"/>
          <w:bCs/>
          <w:sz w:val="24"/>
          <w:szCs w:val="24"/>
        </w:rPr>
      </w:pPr>
    </w:p>
    <w:sectPr w:rsidR="000E1B97" w:rsidRPr="00160D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845C" w14:textId="77777777" w:rsidR="005068D3" w:rsidRDefault="005068D3">
      <w:pPr>
        <w:spacing w:after="0" w:line="240" w:lineRule="auto"/>
      </w:pPr>
      <w:r>
        <w:separator/>
      </w:r>
    </w:p>
  </w:endnote>
  <w:endnote w:type="continuationSeparator" w:id="0">
    <w:p w14:paraId="3EE302A9" w14:textId="77777777" w:rsidR="005068D3" w:rsidRDefault="0050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3A88" w14:textId="77777777" w:rsidR="005068D3" w:rsidRDefault="005068D3">
      <w:pPr>
        <w:spacing w:after="0" w:line="240" w:lineRule="auto"/>
      </w:pPr>
      <w:r>
        <w:separator/>
      </w:r>
    </w:p>
  </w:footnote>
  <w:footnote w:type="continuationSeparator" w:id="0">
    <w:p w14:paraId="511DDB1D" w14:textId="77777777" w:rsidR="005068D3" w:rsidRDefault="0050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DF9A" w14:textId="070C0B19" w:rsidR="001859DA" w:rsidRDefault="005A4A0C">
    <w:pPr>
      <w:pStyle w:val="Zhlav"/>
      <w:rPr>
        <w:rFonts w:ascii="Garamond" w:hAnsi="Garamond"/>
      </w:rPr>
    </w:pPr>
    <w:r w:rsidRPr="005A4A0C">
      <w:rPr>
        <w:rFonts w:ascii="Garamond" w:hAnsi="Garamond" w:cs="Arial"/>
        <w:noProof/>
        <w:color w:val="000000"/>
        <w:lang w:val="fr-FR"/>
      </w:rPr>
      <w:drawing>
        <wp:inline distT="0" distB="0" distL="0" distR="0" wp14:anchorId="008F3928" wp14:editId="27260030">
          <wp:extent cx="586904" cy="62865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92996" cy="635175"/>
                  </a:xfrm>
                  <a:prstGeom prst="rect">
                    <a:avLst/>
                  </a:prstGeom>
                  <a:noFill/>
                  <a:ln>
                    <a:noFill/>
                  </a:ln>
                </pic:spPr>
              </pic:pic>
            </a:graphicData>
          </a:graphic>
        </wp:inline>
      </w:drawing>
    </w:r>
    <w:r w:rsidR="00774976">
      <w:ptab w:relativeTo="margin" w:alignment="center" w:leader="none"/>
    </w:r>
    <w:r w:rsidR="00774976">
      <w:ptab w:relativeTo="margin" w:alignment="right" w:leader="none"/>
    </w:r>
    <w:r w:rsidR="00774976" w:rsidRPr="005C5E34">
      <w:rPr>
        <w:rFonts w:ascii="Garamond" w:hAnsi="Garamond"/>
      </w:rPr>
      <w:t>Kodex</w:t>
    </w:r>
    <w:r w:rsidR="000B308E">
      <w:rPr>
        <w:rFonts w:ascii="Garamond" w:hAnsi="Garamond"/>
      </w:rPr>
      <w:t xml:space="preserve"> </w:t>
    </w:r>
    <w:proofErr w:type="spellStart"/>
    <w:r w:rsidR="000B308E">
      <w:rPr>
        <w:rFonts w:ascii="Garamond" w:hAnsi="Garamond"/>
      </w:rPr>
      <w:t>Criminal</w:t>
    </w:r>
    <w:proofErr w:type="spellEnd"/>
    <w:r w:rsidR="000B308E">
      <w:rPr>
        <w:rFonts w:ascii="Garamond" w:hAnsi="Garamond"/>
      </w:rPr>
      <w:t xml:space="preserve"> </w:t>
    </w:r>
    <w:proofErr w:type="spellStart"/>
    <w:r w:rsidR="000B308E">
      <w:rPr>
        <w:rFonts w:ascii="Garamond" w:hAnsi="Garamond"/>
      </w:rPr>
      <w:t>Compliance</w:t>
    </w:r>
    <w:proofErr w:type="spellEnd"/>
    <w:r w:rsidR="002B5960">
      <w:rPr>
        <w:rFonts w:ascii="Garamond" w:hAnsi="Garamond"/>
      </w:rPr>
      <w:t xml:space="preserve"> </w:t>
    </w:r>
    <w:proofErr w:type="gramStart"/>
    <w:r w:rsidR="002B5960">
      <w:rPr>
        <w:rFonts w:ascii="Garamond" w:hAnsi="Garamond"/>
      </w:rPr>
      <w:t>Program</w:t>
    </w:r>
    <w:r w:rsidR="00774976" w:rsidRPr="005C5E34">
      <w:rPr>
        <w:rFonts w:ascii="Garamond" w:hAnsi="Garamond"/>
      </w:rPr>
      <w:t xml:space="preserve"> - Příloha</w:t>
    </w:r>
    <w:proofErr w:type="gramEnd"/>
    <w:r w:rsidR="00774976" w:rsidRPr="005C5E34">
      <w:rPr>
        <w:rFonts w:ascii="Garamond" w:hAnsi="Garamond"/>
      </w:rPr>
      <w:t xml:space="preserve"> č. </w:t>
    </w:r>
    <w:r w:rsidR="00160D93">
      <w:rPr>
        <w:rFonts w:ascii="Garamond" w:hAnsi="Garamond"/>
      </w:rPr>
      <w:t>1</w:t>
    </w:r>
  </w:p>
  <w:p w14:paraId="4743172E" w14:textId="77777777" w:rsidR="002B2F02" w:rsidRDefault="002B2F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32EE"/>
    <w:multiLevelType w:val="hybridMultilevel"/>
    <w:tmpl w:val="1640D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F234DD"/>
    <w:multiLevelType w:val="hybridMultilevel"/>
    <w:tmpl w:val="62D2A6E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3904129F"/>
    <w:multiLevelType w:val="hybridMultilevel"/>
    <w:tmpl w:val="46B866A6"/>
    <w:lvl w:ilvl="0" w:tplc="46661A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610AB0"/>
    <w:multiLevelType w:val="hybridMultilevel"/>
    <w:tmpl w:val="6BEE1E26"/>
    <w:lvl w:ilvl="0" w:tplc="46661A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1F7CB0"/>
    <w:multiLevelType w:val="hybridMultilevel"/>
    <w:tmpl w:val="1640D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EB"/>
    <w:rsid w:val="00016B25"/>
    <w:rsid w:val="000450EB"/>
    <w:rsid w:val="000B308E"/>
    <w:rsid w:val="000E1B97"/>
    <w:rsid w:val="000F377C"/>
    <w:rsid w:val="00160D93"/>
    <w:rsid w:val="00197520"/>
    <w:rsid w:val="001B3791"/>
    <w:rsid w:val="00252819"/>
    <w:rsid w:val="002B2F02"/>
    <w:rsid w:val="002B5960"/>
    <w:rsid w:val="00306332"/>
    <w:rsid w:val="00355976"/>
    <w:rsid w:val="005068D3"/>
    <w:rsid w:val="00567AF2"/>
    <w:rsid w:val="00572E94"/>
    <w:rsid w:val="005A4A0C"/>
    <w:rsid w:val="005C5E34"/>
    <w:rsid w:val="006E1A2F"/>
    <w:rsid w:val="00774976"/>
    <w:rsid w:val="008A1C72"/>
    <w:rsid w:val="009757BB"/>
    <w:rsid w:val="00991B1C"/>
    <w:rsid w:val="00A22E7C"/>
    <w:rsid w:val="00BA767B"/>
    <w:rsid w:val="00C636E7"/>
    <w:rsid w:val="00DB2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DDF4"/>
  <w15:chartTrackingRefBased/>
  <w15:docId w15:val="{C6928110-4643-437E-90A0-6DED2E51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49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4976"/>
    <w:pPr>
      <w:spacing w:after="200" w:line="276" w:lineRule="auto"/>
      <w:ind w:left="720"/>
      <w:contextualSpacing/>
    </w:pPr>
    <w:rPr>
      <w:rFonts w:ascii="Calibri" w:eastAsia="Calibri" w:hAnsi="Calibri" w:cs="Arial"/>
    </w:rPr>
  </w:style>
  <w:style w:type="character" w:styleId="Odkaznakoment">
    <w:name w:val="annotation reference"/>
    <w:basedOn w:val="Standardnpsmoodstavce"/>
    <w:uiPriority w:val="99"/>
    <w:rsid w:val="00774976"/>
    <w:rPr>
      <w:sz w:val="16"/>
      <w:szCs w:val="16"/>
    </w:rPr>
  </w:style>
  <w:style w:type="paragraph" w:styleId="Textkomente">
    <w:name w:val="annotation text"/>
    <w:basedOn w:val="Normln"/>
    <w:link w:val="TextkomenteChar"/>
    <w:uiPriority w:val="99"/>
    <w:rsid w:val="0077497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77497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749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976"/>
  </w:style>
  <w:style w:type="paragraph" w:styleId="Zpat">
    <w:name w:val="footer"/>
    <w:basedOn w:val="Normln"/>
    <w:link w:val="ZpatChar"/>
    <w:uiPriority w:val="99"/>
    <w:unhideWhenUsed/>
    <w:rsid w:val="00774976"/>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976"/>
  </w:style>
  <w:style w:type="paragraph" w:styleId="Textbubliny">
    <w:name w:val="Balloon Text"/>
    <w:basedOn w:val="Normln"/>
    <w:link w:val="TextbublinyChar"/>
    <w:uiPriority w:val="99"/>
    <w:semiHidden/>
    <w:unhideWhenUsed/>
    <w:rsid w:val="007749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4976"/>
    <w:rPr>
      <w:rFonts w:ascii="Segoe UI" w:hAnsi="Segoe UI" w:cs="Segoe UI"/>
      <w:sz w:val="18"/>
      <w:szCs w:val="18"/>
    </w:rPr>
  </w:style>
  <w:style w:type="character" w:styleId="Hypertextovodkaz">
    <w:name w:val="Hyperlink"/>
    <w:uiPriority w:val="99"/>
    <w:rsid w:val="00975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8341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Cibák</dc:creator>
  <cp:keywords/>
  <dc:description/>
  <cp:lastModifiedBy>Šoukal Roman</cp:lastModifiedBy>
  <cp:revision>2</cp:revision>
  <dcterms:created xsi:type="dcterms:W3CDTF">2020-12-11T09:30:00Z</dcterms:created>
  <dcterms:modified xsi:type="dcterms:W3CDTF">2020-12-11T09:30:00Z</dcterms:modified>
</cp:coreProperties>
</file>